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A82A2A" w:rsidTr="0086365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A82A2A" w:rsidRDefault="00440FAF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 w:rsidR="00002BF7">
              <w:rPr>
                <w:sz w:val="28"/>
                <w:szCs w:val="28"/>
                <w:lang w:val="kk-KZ"/>
              </w:rPr>
              <w:t>6</w:t>
            </w: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 xml:space="preserve"> </w:t>
            </w:r>
            <w:r w:rsidRPr="002B0FB8">
              <w:rPr>
                <w:sz w:val="28"/>
                <w:szCs w:val="28"/>
              </w:rPr>
              <w:t>к приказу</w:t>
            </w:r>
          </w:p>
          <w:p w:rsidR="00A82A2A" w:rsidRDefault="00A82A2A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A82A2A" w:rsidRDefault="00440FAF">
      <w:pPr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763B96">
        <w:rPr>
          <w:b/>
          <w:bCs/>
          <w:color w:val="000000" w:themeColor="text1"/>
          <w:sz w:val="28"/>
          <w:szCs w:val="28"/>
        </w:rPr>
        <w:t>Правила разработки и представления отчетов по исполнению планов развития национальных управляющих холдингов, национальных холдингов, национальных компаний, акционером которых является государство</w:t>
      </w:r>
    </w:p>
    <w:p w:rsidR="00A82A2A" w:rsidRDefault="00A82A2A">
      <w:pPr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A82A2A" w:rsidRDefault="00A82A2A">
      <w:pPr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A82A2A" w:rsidRDefault="00440FAF">
      <w:pPr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763B96">
        <w:rPr>
          <w:b/>
          <w:bCs/>
          <w:color w:val="000000" w:themeColor="text1"/>
          <w:sz w:val="28"/>
          <w:szCs w:val="28"/>
        </w:rPr>
        <w:t>Глава 1. Общие положения</w:t>
      </w:r>
    </w:p>
    <w:p w:rsidR="00A82A2A" w:rsidRDefault="00A82A2A">
      <w:pPr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1. Настоящие Правила разработки и представления отчетов по исполнению планов развития национальных управляющих холдингов, национальных холдингов, национальных компаний, акционером которых является государство (далее – Правила) разработан</w:t>
      </w:r>
      <w:r w:rsidRPr="00763B96">
        <w:rPr>
          <w:color w:val="000000" w:themeColor="text1"/>
          <w:sz w:val="28"/>
          <w:szCs w:val="28"/>
          <w:lang w:val="kk-KZ"/>
        </w:rPr>
        <w:t>ы</w:t>
      </w:r>
      <w:r w:rsidRPr="00763B96">
        <w:rPr>
          <w:color w:val="000000" w:themeColor="text1"/>
          <w:sz w:val="28"/>
          <w:szCs w:val="28"/>
        </w:rPr>
        <w:t xml:space="preserve"> в соответствии с </w:t>
      </w:r>
      <w:hyperlink r:id="rId10" w:anchor="z1889" w:history="1">
        <w:r w:rsidRPr="00763B96">
          <w:rPr>
            <w:color w:val="000000" w:themeColor="text1"/>
            <w:sz w:val="28"/>
            <w:szCs w:val="28"/>
          </w:rPr>
          <w:t>подпунктом 4-3)</w:t>
        </w:r>
      </w:hyperlink>
      <w:r w:rsidRPr="00763B96">
        <w:rPr>
          <w:color w:val="000000" w:themeColor="text1"/>
          <w:sz w:val="28"/>
          <w:szCs w:val="28"/>
        </w:rPr>
        <w:t xml:space="preserve"> статьи 13 Закона Республики Казахстан «О государственном имуществе» (далее </w:t>
      </w:r>
      <w:bookmarkStart w:id="1" w:name="_Hlk196723252"/>
      <w:r w:rsidRPr="00763B96">
        <w:rPr>
          <w:color w:val="000000" w:themeColor="text1"/>
          <w:sz w:val="28"/>
          <w:szCs w:val="28"/>
        </w:rPr>
        <w:t xml:space="preserve">– </w:t>
      </w:r>
      <w:bookmarkEnd w:id="1"/>
      <w:r w:rsidRPr="00763B96">
        <w:rPr>
          <w:color w:val="000000" w:themeColor="text1"/>
          <w:sz w:val="28"/>
          <w:szCs w:val="28"/>
        </w:rPr>
        <w:t>Закон) и определяют порядок разработки и представления отчетов по исполнению планов развития национальных управляющих холдингов, национальных холдингов, национальных компаний, акционером которых является государство</w:t>
      </w:r>
      <w:r w:rsidRPr="00763B96">
        <w:t xml:space="preserve"> </w:t>
      </w:r>
      <w:r w:rsidRPr="00763B96">
        <w:rPr>
          <w:color w:val="000000" w:themeColor="text1"/>
          <w:sz w:val="28"/>
          <w:szCs w:val="28"/>
        </w:rPr>
        <w:t>(далее – Отчет по исполнению плана развития).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rFonts w:eastAsia="Calibri"/>
          <w:color w:val="000000" w:themeColor="text1"/>
          <w:sz w:val="28"/>
        </w:rPr>
        <w:t>2. Основные понятия, используемые в настоящих Правилах: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rFonts w:eastAsia="Calibri"/>
          <w:color w:val="000000" w:themeColor="text1"/>
          <w:sz w:val="28"/>
        </w:rPr>
        <w:t>1) исполнительный орган – коллегиальный орган или лицо, единолично осуществляющее функции исполнительного органа, название которого определяется уставом компании;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rFonts w:eastAsia="Calibri"/>
          <w:color w:val="000000" w:themeColor="text1"/>
          <w:sz w:val="28"/>
        </w:rPr>
        <w:t xml:space="preserve">2) совет директоров – орган управления в компании, который образуется путем избрания его членов на общем собрании акционеров (единственного акционера) компании, отвечающий за общее руководство и контроль </w:t>
      </w:r>
      <w:r>
        <w:rPr>
          <w:rFonts w:eastAsia="Calibri"/>
          <w:color w:val="000000" w:themeColor="text1"/>
          <w:sz w:val="28"/>
        </w:rPr>
        <w:br/>
      </w:r>
      <w:r w:rsidRPr="00763B96">
        <w:rPr>
          <w:rFonts w:eastAsia="Calibri"/>
          <w:color w:val="000000" w:themeColor="text1"/>
          <w:sz w:val="28"/>
        </w:rPr>
        <w:t>за деятельностью компании и исполнительного органа;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rFonts w:eastAsia="Calibri"/>
          <w:color w:val="000000" w:themeColor="text1"/>
          <w:sz w:val="28"/>
        </w:rPr>
        <w:t>3) компания – национальный управляющий холдинг, национальный холдинг, национальная компания, акционером которого является государство;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rFonts w:eastAsia="Calibri"/>
          <w:color w:val="000000" w:themeColor="text1"/>
          <w:sz w:val="28"/>
        </w:rPr>
        <w:t>4) национальный план развития Республики Казахстан – документ Системы государственного планирования, предусматривающий цель, основные направления, приоритеты развития, подходы по их обеспечению и ключевые национальные индикаторы развития страны в соответствующем плановом периоде, направленные на достижение долгосрочных ориентиров развития страны;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rFonts w:eastAsia="Calibri"/>
          <w:color w:val="000000" w:themeColor="text1"/>
          <w:sz w:val="28"/>
        </w:rPr>
        <w:t xml:space="preserve">5) национальный удостоверяющий центр Республики Казахстан – удостоверяющий центр, предоставляющий средства </w:t>
      </w:r>
      <w:r w:rsidRPr="000D4509">
        <w:rPr>
          <w:rFonts w:eastAsia="Calibri"/>
          <w:color w:val="000000" w:themeColor="text1"/>
          <w:sz w:val="28"/>
        </w:rPr>
        <w:t>электронной</w:t>
      </w:r>
      <w:r w:rsidRPr="00763B96">
        <w:rPr>
          <w:rFonts w:eastAsia="Calibri"/>
          <w:color w:val="000000" w:themeColor="text1"/>
          <w:sz w:val="28"/>
        </w:rPr>
        <w:t xml:space="preserve"> цифровой подписи и регистрационные свидетельства физическим или юридическим лицам для формирования </w:t>
      </w:r>
      <w:r w:rsidR="00B66EF9">
        <w:rPr>
          <w:rFonts w:eastAsia="Calibri"/>
          <w:color w:val="000000" w:themeColor="text1"/>
          <w:sz w:val="28"/>
          <w:lang w:val="kk-KZ"/>
        </w:rPr>
        <w:t>цифровых</w:t>
      </w:r>
      <w:r w:rsidRPr="00763B96">
        <w:rPr>
          <w:rFonts w:eastAsia="Calibri"/>
          <w:color w:val="000000" w:themeColor="text1"/>
          <w:sz w:val="28"/>
        </w:rPr>
        <w:t xml:space="preserve"> документов в государственных и негосударственных </w:t>
      </w:r>
      <w:r w:rsidR="00B66EF9">
        <w:rPr>
          <w:rFonts w:eastAsia="Calibri"/>
          <w:color w:val="000000" w:themeColor="text1"/>
          <w:sz w:val="28"/>
          <w:lang w:val="kk-KZ"/>
        </w:rPr>
        <w:t>цифровых</w:t>
      </w:r>
      <w:r w:rsidRPr="00763B96">
        <w:rPr>
          <w:rFonts w:eastAsia="Calibri"/>
          <w:color w:val="000000" w:themeColor="text1"/>
          <w:sz w:val="28"/>
        </w:rPr>
        <w:t xml:space="preserve"> системах;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rFonts w:eastAsia="Calibri"/>
          <w:color w:val="000000" w:themeColor="text1"/>
          <w:sz w:val="28"/>
        </w:rPr>
        <w:t>6) ключевой показатель деятельности – количественно измеримый показатель, позволяющий определить уровень достижения цели плана развития;</w:t>
      </w:r>
    </w:p>
    <w:p w:rsidR="00A82A2A" w:rsidRDefault="00440FAF">
      <w:pPr>
        <w:ind w:firstLine="709"/>
        <w:jc w:val="both"/>
        <w:rPr>
          <w:rFonts w:eastAsia="Calibri"/>
          <w:color w:val="000000" w:themeColor="text1"/>
          <w:sz w:val="28"/>
        </w:rPr>
      </w:pPr>
      <w:r w:rsidRPr="00763B96">
        <w:rPr>
          <w:rFonts w:eastAsia="Calibri"/>
          <w:color w:val="000000" w:themeColor="text1"/>
          <w:sz w:val="28"/>
        </w:rPr>
        <w:lastRenderedPageBreak/>
        <w:t>7) реестр государственного имущества</w:t>
      </w:r>
      <w:r>
        <w:rPr>
          <w:rFonts w:eastAsia="Calibri"/>
          <w:color w:val="000000" w:themeColor="text1"/>
          <w:sz w:val="28"/>
          <w:lang w:val="kk-KZ"/>
        </w:rPr>
        <w:t xml:space="preserve"> </w:t>
      </w:r>
      <w:r w:rsidRPr="00763B96">
        <w:rPr>
          <w:rFonts w:eastAsia="Calibri"/>
          <w:color w:val="000000" w:themeColor="text1"/>
          <w:sz w:val="28"/>
        </w:rPr>
        <w:t xml:space="preserve">(далее – Реестр) – единая </w:t>
      </w:r>
      <w:r w:rsidR="00B66EF9">
        <w:rPr>
          <w:rFonts w:eastAsia="Calibri"/>
          <w:color w:val="000000" w:themeColor="text1"/>
          <w:sz w:val="28"/>
          <w:lang w:val="kk-KZ"/>
        </w:rPr>
        <w:t>цифровая</w:t>
      </w:r>
      <w:r w:rsidRPr="00763B96">
        <w:rPr>
          <w:rFonts w:eastAsia="Calibri"/>
          <w:color w:val="000000" w:themeColor="text1"/>
          <w:sz w:val="28"/>
        </w:rPr>
        <w:t xml:space="preserve"> автоматизированная система учета государственного имущества, за исключением имущества, находящегося в оперативном управлении специальных государственных органов, Вооруженных Сил, других войск и воинских формирований Республики Казахстан, и государственного материального резерва;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rFonts w:eastAsia="Calibri"/>
          <w:color w:val="000000" w:themeColor="text1"/>
          <w:sz w:val="28"/>
          <w:lang w:val="kk-KZ"/>
        </w:rPr>
        <w:t xml:space="preserve">8) </w:t>
      </w:r>
      <w:r w:rsidRPr="00763B96">
        <w:rPr>
          <w:rFonts w:eastAsia="Calibri"/>
          <w:color w:val="000000" w:themeColor="text1"/>
          <w:sz w:val="28"/>
        </w:rPr>
        <w:t xml:space="preserve">единый оператор в сфере учета государственного имущества </w:t>
      </w:r>
      <w:r>
        <w:rPr>
          <w:rFonts w:eastAsia="Calibri"/>
          <w:color w:val="000000" w:themeColor="text1"/>
          <w:sz w:val="28"/>
        </w:rPr>
        <w:br/>
      </w:r>
      <w:r w:rsidRPr="00763B96">
        <w:rPr>
          <w:rFonts w:eastAsia="Calibri"/>
          <w:color w:val="000000" w:themeColor="text1"/>
          <w:sz w:val="28"/>
        </w:rPr>
        <w:t>(далее – Единый оператор) – юридическое лицо с участием государства в уставном капитале, определенное по решению Правительства Республики Казахстан, на которое возложены задачи по реализации единой технической политики в сфере организации и учета государственного имущества, а также функции по управлению и эксплуатации активами территориальных подразделений уполномоченного органа по государственному имуществу согласно перечню, утверждаемому уполномоченным органом по государственному имуществу в соответствии с подпунктом 21) статьи 1 Закона;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63B96">
        <w:rPr>
          <w:rFonts w:eastAsia="Calibri"/>
          <w:color w:val="000000" w:themeColor="text1"/>
          <w:sz w:val="28"/>
          <w:lang w:val="kk-KZ"/>
        </w:rPr>
        <w:t>9</w:t>
      </w:r>
      <w:r w:rsidRPr="00763B96">
        <w:rPr>
          <w:rFonts w:eastAsia="Calibri"/>
          <w:color w:val="000000" w:themeColor="text1"/>
          <w:sz w:val="28"/>
        </w:rPr>
        <w:t xml:space="preserve">) </w:t>
      </w:r>
      <w:bookmarkStart w:id="2" w:name="_Hlk196731140"/>
      <w:r w:rsidRPr="00763B96">
        <w:rPr>
          <w:color w:val="000000" w:themeColor="text1"/>
          <w:sz w:val="28"/>
          <w:szCs w:val="28"/>
        </w:rPr>
        <w:t xml:space="preserve">веб-портал реестра – </w:t>
      </w:r>
      <w:proofErr w:type="spellStart"/>
      <w:r w:rsidRPr="00763B96">
        <w:rPr>
          <w:color w:val="000000" w:themeColor="text1"/>
          <w:sz w:val="28"/>
          <w:szCs w:val="28"/>
        </w:rPr>
        <w:t>интернет-ресурс</w:t>
      </w:r>
      <w:proofErr w:type="spellEnd"/>
      <w:r w:rsidRPr="00763B96">
        <w:rPr>
          <w:color w:val="000000" w:themeColor="text1"/>
          <w:sz w:val="28"/>
          <w:szCs w:val="28"/>
        </w:rPr>
        <w:t>, размещенный в сети Интернет по адресу www.e-qazyna.kz, предоставляющий единую точку доступа к реестру</w:t>
      </w:r>
      <w:r w:rsidRPr="00763B96">
        <w:rPr>
          <w:color w:val="000000" w:themeColor="text1"/>
          <w:sz w:val="28"/>
          <w:szCs w:val="28"/>
          <w:lang w:val="kk-KZ"/>
        </w:rPr>
        <w:t>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763B96">
        <w:rPr>
          <w:color w:val="000000" w:themeColor="text1"/>
          <w:sz w:val="28"/>
          <w:szCs w:val="28"/>
          <w:lang w:val="kk-KZ"/>
        </w:rPr>
        <w:t xml:space="preserve">10) </w:t>
      </w:r>
      <w:r w:rsidR="00B66EF9">
        <w:rPr>
          <w:rFonts w:eastAsia="Calibri"/>
          <w:color w:val="000000" w:themeColor="text1"/>
          <w:sz w:val="28"/>
          <w:lang w:val="kk-KZ"/>
        </w:rPr>
        <w:t>цифровой</w:t>
      </w:r>
      <w:r w:rsidRPr="00763B96">
        <w:rPr>
          <w:rFonts w:eastAsia="Calibri"/>
          <w:color w:val="000000" w:themeColor="text1"/>
          <w:sz w:val="28"/>
        </w:rPr>
        <w:t xml:space="preserve"> отчет – отчет по исполнению плана развития, подготовленный на веб-портале </w:t>
      </w:r>
      <w:r>
        <w:rPr>
          <w:rFonts w:eastAsia="Calibri"/>
          <w:color w:val="000000" w:themeColor="text1"/>
          <w:sz w:val="28"/>
          <w:lang w:val="kk-KZ"/>
        </w:rPr>
        <w:t>р</w:t>
      </w:r>
      <w:proofErr w:type="spellStart"/>
      <w:r w:rsidRPr="00763B96">
        <w:rPr>
          <w:rFonts w:eastAsia="Calibri"/>
          <w:color w:val="000000" w:themeColor="text1"/>
          <w:sz w:val="28"/>
        </w:rPr>
        <w:t>еестра</w:t>
      </w:r>
      <w:proofErr w:type="spellEnd"/>
      <w:r w:rsidRPr="00763B96">
        <w:rPr>
          <w:rFonts w:eastAsia="Calibri"/>
          <w:color w:val="000000" w:themeColor="text1"/>
          <w:sz w:val="28"/>
        </w:rPr>
        <w:t xml:space="preserve">, и подписываемый </w:t>
      </w:r>
      <w:r w:rsidRPr="000D4509">
        <w:rPr>
          <w:rFonts w:eastAsia="Calibri"/>
          <w:color w:val="000000" w:themeColor="text1"/>
          <w:sz w:val="28"/>
        </w:rPr>
        <w:t>электронной</w:t>
      </w:r>
      <w:r w:rsidRPr="00763B96">
        <w:rPr>
          <w:rFonts w:eastAsia="Calibri"/>
          <w:color w:val="000000" w:themeColor="text1"/>
          <w:sz w:val="28"/>
        </w:rPr>
        <w:t xml:space="preserve"> цифровой подписью компании, выданной национальным удостоверяющим центром</w:t>
      </w:r>
      <w:r w:rsidRPr="00763B96">
        <w:rPr>
          <w:rFonts w:eastAsia="Calibri"/>
          <w:color w:val="000000" w:themeColor="text1"/>
          <w:sz w:val="28"/>
          <w:lang w:val="kk-KZ"/>
        </w:rPr>
        <w:t>.</w:t>
      </w:r>
      <w:bookmarkEnd w:id="2"/>
    </w:p>
    <w:p w:rsidR="00A82A2A" w:rsidRDefault="00A82A2A">
      <w:pPr>
        <w:shd w:val="clear" w:color="auto" w:fill="FFFFFF"/>
        <w:ind w:firstLine="284"/>
        <w:contextualSpacing/>
        <w:jc w:val="both"/>
        <w:textAlignment w:val="baseline"/>
        <w:outlineLvl w:val="2"/>
        <w:rPr>
          <w:rFonts w:eastAsia="Calibri"/>
          <w:color w:val="000000" w:themeColor="text1"/>
          <w:sz w:val="28"/>
        </w:rPr>
      </w:pPr>
    </w:p>
    <w:p w:rsidR="00A82A2A" w:rsidRDefault="00A82A2A">
      <w:pPr>
        <w:shd w:val="clear" w:color="auto" w:fill="FFFFFF"/>
        <w:ind w:firstLine="284"/>
        <w:contextualSpacing/>
        <w:jc w:val="both"/>
        <w:textAlignment w:val="baseline"/>
        <w:outlineLvl w:val="2"/>
        <w:rPr>
          <w:rFonts w:eastAsia="Calibri"/>
          <w:color w:val="000000" w:themeColor="text1"/>
          <w:sz w:val="28"/>
          <w:szCs w:val="22"/>
          <w:lang w:eastAsia="en-US"/>
        </w:rPr>
      </w:pPr>
    </w:p>
    <w:p w:rsidR="00A82A2A" w:rsidRDefault="00440FAF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763B96">
        <w:rPr>
          <w:b/>
          <w:bCs/>
          <w:color w:val="000000" w:themeColor="text1"/>
          <w:sz w:val="28"/>
          <w:szCs w:val="28"/>
        </w:rPr>
        <w:t>Глава 2. Порядок разработки и представления отчета по исполнению плана развития</w:t>
      </w:r>
    </w:p>
    <w:p w:rsidR="00A82A2A" w:rsidRDefault="00A82A2A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3. Отчет по исполнению плана развития разрабатывается и представляется в следующем порядке: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1) первый раз – за 3 (три) года с разбивкой по годам;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2) второй раз – за 6 (шесть) лет с разбивкой по годам;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3) третий раз – за 10 (десять) лет с разбивкой за последние четыре года и по итогам реализации плана развития за десять лет.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4. Отчет по исполнению плана развития содержит следующие разделы: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 xml:space="preserve">1) достижение стратегических направлений деятельности, целей, задач и ключевых показателей деятельности. </w:t>
      </w:r>
      <w:bookmarkStart w:id="3" w:name="_Hlk196729667"/>
      <w:r w:rsidRPr="00763B96">
        <w:rPr>
          <w:color w:val="000000" w:themeColor="text1"/>
          <w:sz w:val="28"/>
          <w:szCs w:val="28"/>
        </w:rPr>
        <w:t xml:space="preserve">Информация о запланированных и фактически достигнутых ключевых показателях деятельности по стратегическим направлениям деятельности, целям, задачам, о причинах их </w:t>
      </w:r>
      <w:proofErr w:type="spellStart"/>
      <w:r w:rsidRPr="00763B96">
        <w:rPr>
          <w:color w:val="000000" w:themeColor="text1"/>
          <w:sz w:val="28"/>
          <w:szCs w:val="28"/>
        </w:rPr>
        <w:t>недостижения</w:t>
      </w:r>
      <w:proofErr w:type="spellEnd"/>
      <w:r w:rsidRPr="00763B96">
        <w:rPr>
          <w:color w:val="000000" w:themeColor="text1"/>
          <w:sz w:val="28"/>
          <w:szCs w:val="28"/>
        </w:rPr>
        <w:t>,</w:t>
      </w:r>
      <w:bookmarkEnd w:id="3"/>
      <w:r w:rsidRPr="00763B96">
        <w:rPr>
          <w:color w:val="000000" w:themeColor="text1"/>
          <w:sz w:val="28"/>
          <w:szCs w:val="28"/>
        </w:rPr>
        <w:t xml:space="preserve"> с предоставлением таблицы заполняется по форме согласно приложению к настоящим Правилам;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2) аналитическая записка, которая составляется в произвольной форме и содержит следующие сведения: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 xml:space="preserve">информация о степени достижения запланированных ключевых показателей деятельности по стратегическим направлениям деятельности, целям и задачам (при наличии отклонений фактических результатов от </w:t>
      </w:r>
      <w:r w:rsidRPr="00763B96">
        <w:rPr>
          <w:color w:val="000000" w:themeColor="text1"/>
          <w:sz w:val="28"/>
          <w:szCs w:val="28"/>
        </w:rPr>
        <w:lastRenderedPageBreak/>
        <w:t>запланированных следует раскрыть причины и факторы, которые оказали влияние на конечные результаты), оценка влияния факторов на реализацию плана развития, а также оценка влияния реализации плана развития на социально-экономическое развитие отрасли, региона;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проблемы, которые возникли в процессе реализации плана развития, их воздействие на цели и ключевые показатели деятельности, а также принятые меры по обеспечению своевременной реализации плана развития;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выводы об итогах реализации плана развития за отчетный период в разрезе стратегических направлений деятельности, целей и задач;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предложения по дальнейшей реализации плана развития, ее корректировке, повышению эффективности процесса реализации плана развития, решению выявленных проблем по реализации плана развития.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 xml:space="preserve">5. Разработка и утверждение Отчета по исполнению плана развития осуществляется после утверждения годовой </w:t>
      </w:r>
      <w:proofErr w:type="spellStart"/>
      <w:r w:rsidRPr="00763B96">
        <w:rPr>
          <w:color w:val="000000" w:themeColor="text1"/>
          <w:sz w:val="28"/>
          <w:szCs w:val="28"/>
        </w:rPr>
        <w:t>аудированной</w:t>
      </w:r>
      <w:proofErr w:type="spellEnd"/>
      <w:r w:rsidRPr="00763B96">
        <w:rPr>
          <w:color w:val="000000" w:themeColor="text1"/>
          <w:sz w:val="28"/>
          <w:szCs w:val="28"/>
        </w:rPr>
        <w:t xml:space="preserve"> финансовой отчетности в следующем порядке: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 xml:space="preserve">1) в течение 15 (пятнадцати) рабочих дней со дня утверждения годовой </w:t>
      </w:r>
      <w:proofErr w:type="spellStart"/>
      <w:r w:rsidRPr="00763B96">
        <w:rPr>
          <w:color w:val="000000" w:themeColor="text1"/>
          <w:sz w:val="28"/>
          <w:szCs w:val="28"/>
        </w:rPr>
        <w:t>аудированной</w:t>
      </w:r>
      <w:proofErr w:type="spellEnd"/>
      <w:r w:rsidRPr="00763B96">
        <w:rPr>
          <w:color w:val="000000" w:themeColor="text1"/>
          <w:sz w:val="28"/>
          <w:szCs w:val="28"/>
        </w:rPr>
        <w:t xml:space="preserve"> финансовой отчетности исполнительный орган осуществляет разработку проекта Отчета по исполнению плана развития на веб-портале </w:t>
      </w:r>
      <w:r>
        <w:rPr>
          <w:color w:val="000000" w:themeColor="text1"/>
          <w:sz w:val="28"/>
          <w:szCs w:val="28"/>
          <w:lang w:val="kk-KZ"/>
        </w:rPr>
        <w:t>р</w:t>
      </w:r>
      <w:proofErr w:type="spellStart"/>
      <w:r w:rsidRPr="00763B96">
        <w:rPr>
          <w:color w:val="000000" w:themeColor="text1"/>
          <w:sz w:val="28"/>
          <w:szCs w:val="28"/>
        </w:rPr>
        <w:t>еестра</w:t>
      </w:r>
      <w:proofErr w:type="spellEnd"/>
      <w:r w:rsidRPr="00763B96">
        <w:rPr>
          <w:color w:val="000000" w:themeColor="text1"/>
          <w:sz w:val="28"/>
          <w:szCs w:val="28"/>
        </w:rPr>
        <w:t>, разработанного Единым оператором, и вносит его на рассмотрение совета директоров компании.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Совет директоров компании в течение 15 (пятнадцати) рабочих дней рассматривает и принимает решение об утверждении проекта Отчета по исполнению плана развития либо о возврате исполнительному органу для доработки.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При наличии замечаний исполнительный орган дорабатывает проект Отчета по исполнению плана развития в сроки, определенные советом директоров компании, но не более 10 (десяти рабочих дней) со дня получения замечаний, и повторно представляет его на рассмотрение совета директоров компании;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2) проект Отчета по исполнению плана развития утверждается на заседании совета директоров компании.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 xml:space="preserve">6. Исполнительный орган в течение 5 (пяти) рабочих дней со дня получения выписки из протокола заседания совета директоров компании по вопросу утверждения Отчета по исполнению плана развития направляет </w:t>
      </w:r>
      <w:r w:rsidR="00B66EF9">
        <w:rPr>
          <w:color w:val="000000" w:themeColor="text1"/>
          <w:sz w:val="28"/>
          <w:szCs w:val="28"/>
          <w:lang w:val="kk-KZ"/>
        </w:rPr>
        <w:t>цифровой</w:t>
      </w:r>
      <w:r w:rsidRPr="00763B96">
        <w:rPr>
          <w:color w:val="000000" w:themeColor="text1"/>
          <w:sz w:val="28"/>
          <w:szCs w:val="28"/>
        </w:rPr>
        <w:t xml:space="preserve"> отчет Единому оператору для включения в Реестр, прикрепив к </w:t>
      </w:r>
      <w:r w:rsidR="00B66EF9">
        <w:rPr>
          <w:color w:val="000000" w:themeColor="text1"/>
          <w:sz w:val="28"/>
          <w:szCs w:val="28"/>
          <w:lang w:val="kk-KZ"/>
        </w:rPr>
        <w:t>цифровому</w:t>
      </w:r>
      <w:r w:rsidRPr="00763B96">
        <w:rPr>
          <w:color w:val="000000" w:themeColor="text1"/>
          <w:sz w:val="28"/>
          <w:szCs w:val="28"/>
        </w:rPr>
        <w:t xml:space="preserve"> отчету сканированную копию решения совета директоров компании об его утверждении. Данный отчет в бумажном виде направляется также уполномоченному органу соответствующей отрасли для проведения мониторинга реализации плана развития.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 xml:space="preserve">7. Включение </w:t>
      </w:r>
      <w:r w:rsidR="00B66EF9">
        <w:rPr>
          <w:color w:val="000000" w:themeColor="text1"/>
          <w:sz w:val="28"/>
          <w:szCs w:val="28"/>
          <w:lang w:val="kk-KZ"/>
        </w:rPr>
        <w:t>цифрового</w:t>
      </w:r>
      <w:r w:rsidRPr="00763B96">
        <w:rPr>
          <w:color w:val="000000" w:themeColor="text1"/>
          <w:sz w:val="28"/>
          <w:szCs w:val="28"/>
        </w:rPr>
        <w:t xml:space="preserve"> отчета в Реестр Единым оператором осуществляется в течение 5 (пяти) рабочих дней со дня его поступления </w:t>
      </w:r>
      <w:r>
        <w:rPr>
          <w:color w:val="000000" w:themeColor="text1"/>
          <w:sz w:val="28"/>
          <w:szCs w:val="28"/>
        </w:rPr>
        <w:br/>
      </w:r>
      <w:r w:rsidRPr="00763B96">
        <w:rPr>
          <w:color w:val="000000" w:themeColor="text1"/>
          <w:sz w:val="28"/>
          <w:szCs w:val="28"/>
        </w:rPr>
        <w:t xml:space="preserve">с направлением на </w:t>
      </w:r>
      <w:r w:rsidR="001811BB">
        <w:rPr>
          <w:color w:val="000000" w:themeColor="text1"/>
          <w:sz w:val="28"/>
          <w:szCs w:val="28"/>
          <w:lang w:val="kk-KZ"/>
        </w:rPr>
        <w:t>электронную</w:t>
      </w:r>
      <w:r w:rsidRPr="00763B96">
        <w:rPr>
          <w:color w:val="000000" w:themeColor="text1"/>
          <w:sz w:val="28"/>
          <w:szCs w:val="28"/>
        </w:rPr>
        <w:t xml:space="preserve"> </w:t>
      </w:r>
      <w:r w:rsidR="001811BB">
        <w:rPr>
          <w:color w:val="000000" w:themeColor="text1"/>
          <w:sz w:val="28"/>
          <w:szCs w:val="28"/>
          <w:lang w:val="kk-KZ"/>
        </w:rPr>
        <w:t>почту</w:t>
      </w:r>
      <w:r w:rsidRPr="00763B96">
        <w:rPr>
          <w:color w:val="000000" w:themeColor="text1"/>
          <w:sz w:val="28"/>
          <w:szCs w:val="28"/>
        </w:rPr>
        <w:t xml:space="preserve"> компании уведомления о включении </w:t>
      </w:r>
      <w:r w:rsidR="00B66EF9">
        <w:rPr>
          <w:color w:val="000000" w:themeColor="text1"/>
          <w:sz w:val="28"/>
          <w:szCs w:val="28"/>
          <w:lang w:val="kk-KZ"/>
        </w:rPr>
        <w:t>цифрового</w:t>
      </w:r>
      <w:r w:rsidRPr="00763B96">
        <w:rPr>
          <w:color w:val="000000" w:themeColor="text1"/>
          <w:sz w:val="28"/>
          <w:szCs w:val="28"/>
        </w:rPr>
        <w:t xml:space="preserve"> отчета в Реестр.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lastRenderedPageBreak/>
        <w:t xml:space="preserve">При наличии замечаний Единого оператора к </w:t>
      </w:r>
      <w:r w:rsidR="00B66EF9">
        <w:rPr>
          <w:color w:val="000000" w:themeColor="text1"/>
          <w:sz w:val="28"/>
          <w:szCs w:val="28"/>
          <w:lang w:val="kk-KZ"/>
        </w:rPr>
        <w:t>цифровому</w:t>
      </w:r>
      <w:r w:rsidRPr="00763B96">
        <w:rPr>
          <w:color w:val="000000" w:themeColor="text1"/>
          <w:sz w:val="28"/>
          <w:szCs w:val="28"/>
        </w:rPr>
        <w:t xml:space="preserve"> отчету компания устраняет замечания и вносит его повторно Единому оператору </w:t>
      </w:r>
      <w:r>
        <w:rPr>
          <w:color w:val="000000" w:themeColor="text1"/>
          <w:sz w:val="28"/>
          <w:szCs w:val="28"/>
        </w:rPr>
        <w:br/>
      </w:r>
      <w:r w:rsidRPr="00763B96">
        <w:rPr>
          <w:color w:val="000000" w:themeColor="text1"/>
          <w:sz w:val="28"/>
          <w:szCs w:val="28"/>
        </w:rPr>
        <w:t>в течение 5 (пяти) рабочих дней со дня получения замечаний без повторного вынесения на рассмотрение совета директоров компании.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 xml:space="preserve">8. В случае отсутствия утвержденной годовой </w:t>
      </w:r>
      <w:proofErr w:type="spellStart"/>
      <w:r w:rsidRPr="00763B96">
        <w:rPr>
          <w:color w:val="000000" w:themeColor="text1"/>
          <w:sz w:val="28"/>
          <w:szCs w:val="28"/>
        </w:rPr>
        <w:t>аудированной</w:t>
      </w:r>
      <w:proofErr w:type="spellEnd"/>
      <w:r w:rsidRPr="00763B96">
        <w:rPr>
          <w:color w:val="000000" w:themeColor="text1"/>
          <w:sz w:val="28"/>
          <w:szCs w:val="28"/>
        </w:rPr>
        <w:t xml:space="preserve"> финансовой отчетности до </w:t>
      </w:r>
      <w:r>
        <w:rPr>
          <w:color w:val="000000" w:themeColor="text1"/>
          <w:sz w:val="28"/>
          <w:szCs w:val="28"/>
          <w:lang w:val="kk-KZ"/>
        </w:rPr>
        <w:t>30 (</w:t>
      </w:r>
      <w:r w:rsidRPr="00763B96">
        <w:rPr>
          <w:color w:val="000000" w:themeColor="text1"/>
          <w:sz w:val="28"/>
          <w:szCs w:val="28"/>
        </w:rPr>
        <w:t>тридцатого</w:t>
      </w:r>
      <w:r>
        <w:rPr>
          <w:color w:val="000000" w:themeColor="text1"/>
          <w:sz w:val="28"/>
          <w:szCs w:val="28"/>
          <w:lang w:val="kk-KZ"/>
        </w:rPr>
        <w:t>)</w:t>
      </w:r>
      <w:r w:rsidRPr="00763B96">
        <w:rPr>
          <w:color w:val="000000" w:themeColor="text1"/>
          <w:sz w:val="28"/>
          <w:szCs w:val="28"/>
        </w:rPr>
        <w:t xml:space="preserve"> числа четвертого месяца, следующего за отчетным периодом, исполнительный орган осуществляет разработку проекта Отчета по исполнению плана развития (по оперативным данным) на веб-портале </w:t>
      </w:r>
      <w:r>
        <w:rPr>
          <w:color w:val="000000" w:themeColor="text1"/>
          <w:sz w:val="28"/>
          <w:szCs w:val="28"/>
          <w:lang w:val="kk-KZ"/>
        </w:rPr>
        <w:t>р</w:t>
      </w:r>
      <w:proofErr w:type="spellStart"/>
      <w:r w:rsidRPr="00763B96">
        <w:rPr>
          <w:color w:val="000000" w:themeColor="text1"/>
          <w:sz w:val="28"/>
          <w:szCs w:val="28"/>
        </w:rPr>
        <w:t>еестра</w:t>
      </w:r>
      <w:proofErr w:type="spellEnd"/>
      <w:r w:rsidRPr="00763B96">
        <w:rPr>
          <w:color w:val="000000" w:themeColor="text1"/>
          <w:sz w:val="28"/>
          <w:szCs w:val="28"/>
        </w:rPr>
        <w:t xml:space="preserve">, разработанного Единым оператором, и направляет </w:t>
      </w:r>
      <w:r w:rsidR="00B66EF9">
        <w:rPr>
          <w:color w:val="000000" w:themeColor="text1"/>
          <w:sz w:val="28"/>
          <w:szCs w:val="28"/>
          <w:lang w:val="kk-KZ"/>
        </w:rPr>
        <w:t>цифровой</w:t>
      </w:r>
      <w:r w:rsidRPr="00763B96">
        <w:rPr>
          <w:color w:val="000000" w:themeColor="text1"/>
          <w:sz w:val="28"/>
          <w:szCs w:val="28"/>
        </w:rPr>
        <w:t xml:space="preserve"> отчет </w:t>
      </w:r>
      <w:r>
        <w:rPr>
          <w:color w:val="000000" w:themeColor="text1"/>
          <w:sz w:val="28"/>
          <w:szCs w:val="28"/>
        </w:rPr>
        <w:br/>
      </w:r>
      <w:r w:rsidRPr="00763B96">
        <w:rPr>
          <w:color w:val="000000" w:themeColor="text1"/>
          <w:sz w:val="28"/>
          <w:szCs w:val="28"/>
        </w:rPr>
        <w:t xml:space="preserve">(по оперативным данным) Единому оператору не позднее </w:t>
      </w:r>
      <w:r>
        <w:rPr>
          <w:color w:val="000000" w:themeColor="text1"/>
          <w:sz w:val="28"/>
          <w:szCs w:val="28"/>
          <w:lang w:val="kk-KZ"/>
        </w:rPr>
        <w:t>1 (</w:t>
      </w:r>
      <w:r w:rsidRPr="00763B96">
        <w:rPr>
          <w:color w:val="000000" w:themeColor="text1"/>
          <w:sz w:val="28"/>
          <w:szCs w:val="28"/>
        </w:rPr>
        <w:t>первого</w:t>
      </w:r>
      <w:r>
        <w:rPr>
          <w:color w:val="000000" w:themeColor="text1"/>
          <w:sz w:val="28"/>
          <w:szCs w:val="28"/>
          <w:lang w:val="kk-KZ"/>
        </w:rPr>
        <w:t>)</w:t>
      </w:r>
      <w:r w:rsidRPr="00763B96">
        <w:rPr>
          <w:color w:val="000000" w:themeColor="text1"/>
          <w:sz w:val="28"/>
          <w:szCs w:val="28"/>
        </w:rPr>
        <w:t xml:space="preserve"> числа шестого месяца, следующего за отчетным периодом, для включения в Реестр.</w:t>
      </w:r>
    </w:p>
    <w:p w:rsidR="00A82A2A" w:rsidRDefault="00B66EF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kk-KZ"/>
        </w:rPr>
        <w:t>Цифровой</w:t>
      </w:r>
      <w:r w:rsidR="00440FAF" w:rsidRPr="00763B96">
        <w:rPr>
          <w:color w:val="000000" w:themeColor="text1"/>
          <w:sz w:val="28"/>
          <w:szCs w:val="28"/>
        </w:rPr>
        <w:t xml:space="preserve"> отчет (по оперативным данным) представляется для включения в Реестр согласно пункту 7 настоящих Правил.</w:t>
      </w:r>
    </w:p>
    <w:p w:rsidR="00A82A2A" w:rsidRDefault="00440FAF">
      <w:pPr>
        <w:ind w:firstLine="709"/>
        <w:jc w:val="both"/>
        <w:rPr>
          <w:rFonts w:eastAsiaTheme="minorHAnsi"/>
          <w:color w:val="000000" w:themeColor="text1"/>
          <w:sz w:val="28"/>
          <w:szCs w:val="22"/>
          <w:lang w:eastAsia="en-US"/>
        </w:rPr>
      </w:pPr>
      <w:r w:rsidRPr="00763B96">
        <w:rPr>
          <w:rFonts w:eastAsiaTheme="minorHAnsi"/>
          <w:color w:val="000000" w:themeColor="text1"/>
          <w:sz w:val="28"/>
          <w:szCs w:val="22"/>
          <w:lang w:eastAsia="en-US"/>
        </w:rPr>
        <w:t>9. Исполнительный орган обеспечивает:</w:t>
      </w:r>
    </w:p>
    <w:p w:rsidR="00A82A2A" w:rsidRDefault="00440FAF">
      <w:pPr>
        <w:ind w:firstLine="709"/>
        <w:jc w:val="both"/>
        <w:rPr>
          <w:color w:val="000000" w:themeColor="text1"/>
          <w:sz w:val="28"/>
          <w:szCs w:val="28"/>
        </w:rPr>
      </w:pPr>
      <w:r w:rsidRPr="00763B96">
        <w:rPr>
          <w:rFonts w:eastAsiaTheme="minorHAnsi"/>
          <w:color w:val="000000" w:themeColor="text1"/>
          <w:sz w:val="28"/>
          <w:szCs w:val="22"/>
          <w:lang w:eastAsia="en-US"/>
        </w:rPr>
        <w:t xml:space="preserve">своевременное и достоверное представление данных в Отчете </w:t>
      </w:r>
      <w:r>
        <w:rPr>
          <w:rFonts w:eastAsiaTheme="minorHAnsi"/>
          <w:color w:val="000000" w:themeColor="text1"/>
          <w:sz w:val="28"/>
          <w:szCs w:val="22"/>
          <w:lang w:eastAsia="en-US"/>
        </w:rPr>
        <w:br/>
      </w:r>
      <w:r w:rsidRPr="00763B96">
        <w:rPr>
          <w:rFonts w:eastAsiaTheme="minorHAnsi"/>
          <w:color w:val="000000" w:themeColor="text1"/>
          <w:sz w:val="28"/>
          <w:szCs w:val="22"/>
          <w:lang w:eastAsia="en-US"/>
        </w:rPr>
        <w:t xml:space="preserve">по исполнению плана развития и Отчете по исполнению плана развития </w:t>
      </w:r>
      <w:r>
        <w:rPr>
          <w:rFonts w:eastAsiaTheme="minorHAnsi"/>
          <w:color w:val="000000" w:themeColor="text1"/>
          <w:sz w:val="28"/>
          <w:szCs w:val="22"/>
          <w:lang w:eastAsia="en-US"/>
        </w:rPr>
        <w:br/>
      </w:r>
      <w:r w:rsidRPr="00763B96">
        <w:rPr>
          <w:rFonts w:eastAsiaTheme="minorHAnsi"/>
          <w:color w:val="000000" w:themeColor="text1"/>
          <w:sz w:val="28"/>
          <w:szCs w:val="22"/>
          <w:lang w:eastAsia="en-US"/>
        </w:rPr>
        <w:t>(по оперативным данным) в соответствии с пунктами 6, 7 и 8 настоящих Правил;</w:t>
      </w:r>
    </w:p>
    <w:p w:rsidR="00A82A2A" w:rsidRDefault="00440FAF">
      <w:pPr>
        <w:ind w:firstLine="709"/>
        <w:jc w:val="both"/>
        <w:rPr>
          <w:b/>
          <w:bCs/>
          <w:sz w:val="28"/>
          <w:szCs w:val="28"/>
          <w:lang w:val="kk-KZ" w:eastAsia="en-US"/>
        </w:rPr>
      </w:pPr>
      <w:r w:rsidRPr="00763B96">
        <w:rPr>
          <w:rFonts w:eastAsiaTheme="minorHAnsi"/>
          <w:color w:val="000000" w:themeColor="text1"/>
          <w:sz w:val="28"/>
          <w:szCs w:val="22"/>
          <w:lang w:eastAsia="en-US"/>
        </w:rPr>
        <w:t xml:space="preserve">публикацию и обсуждение документов бюджетного процесса </w:t>
      </w:r>
      <w:r>
        <w:rPr>
          <w:rFonts w:eastAsiaTheme="minorHAnsi"/>
          <w:color w:val="000000" w:themeColor="text1"/>
          <w:sz w:val="28"/>
          <w:szCs w:val="22"/>
          <w:lang w:eastAsia="en-US"/>
        </w:rPr>
        <w:br/>
      </w:r>
      <w:r w:rsidRPr="00763B96">
        <w:rPr>
          <w:rFonts w:eastAsiaTheme="minorHAnsi"/>
          <w:color w:val="000000" w:themeColor="text1"/>
          <w:sz w:val="28"/>
          <w:szCs w:val="22"/>
          <w:lang w:eastAsia="en-US"/>
        </w:rPr>
        <w:t xml:space="preserve">в соответствии пунктами 1 и 14 статьи 40 Бюджетного кодекса </w:t>
      </w:r>
      <w:r>
        <w:rPr>
          <w:rFonts w:eastAsiaTheme="minorHAnsi"/>
          <w:color w:val="000000" w:themeColor="text1"/>
          <w:sz w:val="28"/>
          <w:szCs w:val="22"/>
          <w:lang w:eastAsia="en-US"/>
        </w:rPr>
        <w:br/>
      </w:r>
      <w:r w:rsidRPr="00763B96">
        <w:rPr>
          <w:rFonts w:eastAsiaTheme="minorHAnsi"/>
          <w:color w:val="000000" w:themeColor="text1"/>
          <w:sz w:val="28"/>
          <w:szCs w:val="22"/>
          <w:lang w:eastAsia="en-US"/>
        </w:rPr>
        <w:t>Республики Казахстан.</w:t>
      </w: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A82A2A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:rsidR="00A82A2A" w:rsidRDefault="00440FAF">
      <w:pPr>
        <w:jc w:val="both"/>
        <w:rPr>
          <w:color w:val="000000" w:themeColor="text1"/>
          <w:sz w:val="28"/>
          <w:szCs w:val="28"/>
        </w:rPr>
      </w:pPr>
      <w:r>
        <w:br w:type="page"/>
      </w:r>
    </w:p>
    <w:p w:rsidR="00A82A2A" w:rsidRDefault="00A82A2A">
      <w:pPr>
        <w:tabs>
          <w:tab w:val="left" w:pos="6379"/>
          <w:tab w:val="left" w:pos="7371"/>
          <w:tab w:val="left" w:pos="7513"/>
        </w:tabs>
        <w:ind w:right="1982"/>
        <w:jc w:val="both"/>
        <w:rPr>
          <w:color w:val="000000" w:themeColor="text1"/>
          <w:sz w:val="28"/>
          <w:szCs w:val="28"/>
        </w:rPr>
        <w:sectPr w:rsidR="00A82A2A" w:rsidSect="0086365F">
          <w:headerReference w:type="even" r:id="rId11"/>
          <w:headerReference w:type="default" r:id="rId12"/>
          <w:headerReference w:type="first" r:id="rId13"/>
          <w:pgSz w:w="11906" w:h="16838"/>
          <w:pgMar w:top="1134" w:right="851" w:bottom="1134" w:left="1276" w:header="851" w:footer="709" w:gutter="0"/>
          <w:pgNumType w:start="3"/>
          <w:cols w:space="708"/>
          <w:docGrid w:linePitch="360"/>
        </w:sectPr>
      </w:pPr>
    </w:p>
    <w:p w:rsidR="00A82A2A" w:rsidRDefault="00440FAF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lastRenderedPageBreak/>
        <w:t>Приложение</w:t>
      </w:r>
    </w:p>
    <w:p w:rsidR="00A82A2A" w:rsidRDefault="00440FAF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к Правилам разработки</w:t>
      </w:r>
    </w:p>
    <w:p w:rsidR="00A82A2A" w:rsidRDefault="00440FAF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и представления отчетов</w:t>
      </w:r>
    </w:p>
    <w:p w:rsidR="00A82A2A" w:rsidRDefault="00440FAF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по исполнению планов развития</w:t>
      </w:r>
    </w:p>
    <w:p w:rsidR="00A82A2A" w:rsidRDefault="00440FAF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национальных управляющих холдингов,</w:t>
      </w:r>
    </w:p>
    <w:p w:rsidR="00A82A2A" w:rsidRDefault="00440FAF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национальных холдингов,</w:t>
      </w:r>
    </w:p>
    <w:p w:rsidR="00A82A2A" w:rsidRDefault="00440FAF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национальных компаний,</w:t>
      </w:r>
    </w:p>
    <w:p w:rsidR="00A82A2A" w:rsidRDefault="00440FAF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акционером которых является государство</w:t>
      </w:r>
    </w:p>
    <w:p w:rsidR="00A82A2A" w:rsidRDefault="00A82A2A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</w:p>
    <w:p w:rsidR="00A82A2A" w:rsidRDefault="00A82A2A">
      <w:pPr>
        <w:tabs>
          <w:tab w:val="left" w:pos="6379"/>
          <w:tab w:val="left" w:pos="7371"/>
          <w:tab w:val="left" w:pos="7513"/>
        </w:tabs>
        <w:ind w:left="6804" w:right="-1418" w:firstLine="993"/>
        <w:jc w:val="center"/>
        <w:rPr>
          <w:color w:val="000000" w:themeColor="text1"/>
          <w:sz w:val="28"/>
          <w:szCs w:val="28"/>
        </w:rPr>
      </w:pPr>
    </w:p>
    <w:p w:rsidR="00A82A2A" w:rsidRDefault="00440FAF">
      <w:pPr>
        <w:tabs>
          <w:tab w:val="left" w:pos="6379"/>
          <w:tab w:val="left" w:pos="7371"/>
          <w:tab w:val="left" w:pos="7513"/>
        </w:tabs>
        <w:ind w:left="6804" w:right="252" w:firstLine="993"/>
        <w:jc w:val="right"/>
        <w:rPr>
          <w:color w:val="000000" w:themeColor="text1"/>
          <w:sz w:val="28"/>
          <w:szCs w:val="28"/>
        </w:rPr>
      </w:pPr>
      <w:r w:rsidRPr="00763B96">
        <w:rPr>
          <w:color w:val="000000" w:themeColor="text1"/>
          <w:sz w:val="28"/>
          <w:szCs w:val="28"/>
        </w:rPr>
        <w:t>Форма</w:t>
      </w:r>
    </w:p>
    <w:p w:rsidR="00A82A2A" w:rsidRDefault="00A82A2A">
      <w:pPr>
        <w:ind w:right="1387"/>
        <w:jc w:val="both"/>
        <w:rPr>
          <w:color w:val="000000" w:themeColor="text1"/>
          <w:sz w:val="28"/>
          <w:szCs w:val="28"/>
        </w:rPr>
      </w:pPr>
    </w:p>
    <w:p w:rsidR="00A82A2A" w:rsidRDefault="00440FAF">
      <w:pPr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763B96">
        <w:rPr>
          <w:b/>
          <w:bCs/>
          <w:color w:val="000000" w:themeColor="text1"/>
          <w:sz w:val="28"/>
          <w:szCs w:val="28"/>
        </w:rPr>
        <w:t xml:space="preserve">Информация о запланированных и фактически достигнутых ключевых показателях деятельности по стратегическим направлениям деятельности, целям, задачам, о причинах их </w:t>
      </w:r>
      <w:proofErr w:type="spellStart"/>
      <w:r w:rsidRPr="00763B96">
        <w:rPr>
          <w:b/>
          <w:bCs/>
          <w:color w:val="000000" w:themeColor="text1"/>
          <w:sz w:val="28"/>
          <w:szCs w:val="28"/>
        </w:rPr>
        <w:t>недостижения</w:t>
      </w:r>
      <w:proofErr w:type="spellEnd"/>
    </w:p>
    <w:p w:rsidR="00A82A2A" w:rsidRDefault="00A82A2A">
      <w:pPr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tbl>
      <w:tblPr>
        <w:tblStyle w:val="1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1275"/>
        <w:gridCol w:w="1843"/>
        <w:gridCol w:w="1690"/>
        <w:gridCol w:w="728"/>
        <w:gridCol w:w="728"/>
        <w:gridCol w:w="1468"/>
        <w:gridCol w:w="728"/>
        <w:gridCol w:w="728"/>
        <w:gridCol w:w="1301"/>
        <w:gridCol w:w="1985"/>
      </w:tblGrid>
      <w:tr w:rsidR="00A82A2A" w:rsidTr="0086365F">
        <w:trPr>
          <w:trHeight w:val="255"/>
        </w:trPr>
        <w:tc>
          <w:tcPr>
            <w:tcW w:w="1276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Наименование стратегического направления (далее – СНД)</w:t>
            </w:r>
          </w:p>
        </w:tc>
        <w:tc>
          <w:tcPr>
            <w:tcW w:w="851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Цель</w:t>
            </w:r>
          </w:p>
        </w:tc>
        <w:tc>
          <w:tcPr>
            <w:tcW w:w="1275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Задачи</w:t>
            </w:r>
          </w:p>
        </w:tc>
        <w:tc>
          <w:tcPr>
            <w:tcW w:w="1843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Наименование ключевого показателя деятельности (далее - КПД)*</w:t>
            </w:r>
          </w:p>
        </w:tc>
        <w:tc>
          <w:tcPr>
            <w:tcW w:w="1690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5681" w:type="dxa"/>
            <w:gridSpan w:val="6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Значение КПД</w:t>
            </w:r>
          </w:p>
        </w:tc>
        <w:tc>
          <w:tcPr>
            <w:tcW w:w="1985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Причины невыполнения (выполнения в неполном объеме)</w:t>
            </w:r>
          </w:p>
        </w:tc>
      </w:tr>
      <w:tr w:rsidR="00A82A2A" w:rsidTr="0086365F">
        <w:trPr>
          <w:trHeight w:val="300"/>
        </w:trPr>
        <w:tc>
          <w:tcPr>
            <w:tcW w:w="1276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0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24" w:type="dxa"/>
            <w:gridSpan w:val="3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20__ год</w:t>
            </w:r>
          </w:p>
        </w:tc>
        <w:tc>
          <w:tcPr>
            <w:tcW w:w="2757" w:type="dxa"/>
            <w:gridSpan w:val="3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20_n_ год</w:t>
            </w:r>
          </w:p>
        </w:tc>
        <w:tc>
          <w:tcPr>
            <w:tcW w:w="1985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A82A2A" w:rsidTr="0086365F">
        <w:trPr>
          <w:trHeight w:val="300"/>
        </w:trPr>
        <w:tc>
          <w:tcPr>
            <w:tcW w:w="1276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90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факт</w:t>
            </w:r>
          </w:p>
        </w:tc>
        <w:tc>
          <w:tcPr>
            <w:tcW w:w="146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% отклонения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факт</w:t>
            </w:r>
          </w:p>
        </w:tc>
        <w:tc>
          <w:tcPr>
            <w:tcW w:w="1301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% отклонения</w:t>
            </w:r>
          </w:p>
        </w:tc>
        <w:tc>
          <w:tcPr>
            <w:tcW w:w="1985" w:type="dxa"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A82A2A" w:rsidTr="0086365F">
        <w:trPr>
          <w:trHeight w:val="300"/>
        </w:trPr>
        <w:tc>
          <w:tcPr>
            <w:tcW w:w="1276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СНД 1</w:t>
            </w:r>
          </w:p>
        </w:tc>
        <w:tc>
          <w:tcPr>
            <w:tcW w:w="851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Цель 1</w:t>
            </w:r>
          </w:p>
        </w:tc>
        <w:tc>
          <w:tcPr>
            <w:tcW w:w="1275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Задача 1</w:t>
            </w:r>
          </w:p>
        </w:tc>
        <w:tc>
          <w:tcPr>
            <w:tcW w:w="1843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КПД 1</w:t>
            </w:r>
          </w:p>
        </w:tc>
        <w:tc>
          <w:tcPr>
            <w:tcW w:w="1690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6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01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A82A2A" w:rsidTr="0086365F">
        <w:trPr>
          <w:trHeight w:val="300"/>
        </w:trPr>
        <w:tc>
          <w:tcPr>
            <w:tcW w:w="1276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Задача n</w:t>
            </w:r>
          </w:p>
        </w:tc>
        <w:tc>
          <w:tcPr>
            <w:tcW w:w="1843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КПД n</w:t>
            </w:r>
          </w:p>
        </w:tc>
        <w:tc>
          <w:tcPr>
            <w:tcW w:w="1690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6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01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A82A2A" w:rsidTr="0086365F">
        <w:trPr>
          <w:trHeight w:val="300"/>
        </w:trPr>
        <w:tc>
          <w:tcPr>
            <w:tcW w:w="1276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СНД 2</w:t>
            </w:r>
          </w:p>
        </w:tc>
        <w:tc>
          <w:tcPr>
            <w:tcW w:w="851" w:type="dxa"/>
            <w:vMerge w:val="restart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Цель n</w:t>
            </w:r>
          </w:p>
        </w:tc>
        <w:tc>
          <w:tcPr>
            <w:tcW w:w="1275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Задача 1</w:t>
            </w:r>
          </w:p>
        </w:tc>
        <w:tc>
          <w:tcPr>
            <w:tcW w:w="1843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КПД 1</w:t>
            </w:r>
          </w:p>
        </w:tc>
        <w:tc>
          <w:tcPr>
            <w:tcW w:w="1690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6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01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A82A2A" w:rsidTr="0086365F">
        <w:trPr>
          <w:trHeight w:val="300"/>
        </w:trPr>
        <w:tc>
          <w:tcPr>
            <w:tcW w:w="1276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hideMark/>
          </w:tcPr>
          <w:p w:rsidR="00A82A2A" w:rsidRDefault="00A82A2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Задача n</w:t>
            </w:r>
          </w:p>
        </w:tc>
        <w:tc>
          <w:tcPr>
            <w:tcW w:w="1843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КПД n</w:t>
            </w:r>
          </w:p>
        </w:tc>
        <w:tc>
          <w:tcPr>
            <w:tcW w:w="1690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6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728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01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5" w:type="dxa"/>
            <w:hideMark/>
          </w:tcPr>
          <w:p w:rsidR="00A82A2A" w:rsidRDefault="00440FA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63B96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</w:tbl>
    <w:p w:rsidR="00A82A2A" w:rsidRDefault="00A82A2A">
      <w:pPr>
        <w:jc w:val="both"/>
        <w:rPr>
          <w:color w:val="000000" w:themeColor="text1"/>
          <w:sz w:val="28"/>
          <w:szCs w:val="28"/>
        </w:rPr>
      </w:pPr>
    </w:p>
    <w:p w:rsidR="00A82A2A" w:rsidRDefault="00440FAF">
      <w:pPr>
        <w:jc w:val="both"/>
        <w:rPr>
          <w:sz w:val="28"/>
          <w:szCs w:val="28"/>
        </w:rPr>
      </w:pPr>
      <w:r w:rsidRPr="00763B96">
        <w:rPr>
          <w:sz w:val="28"/>
          <w:szCs w:val="28"/>
        </w:rPr>
        <w:lastRenderedPageBreak/>
        <w:t>Примечание</w:t>
      </w:r>
    </w:p>
    <w:p w:rsidR="00A82A2A" w:rsidRDefault="00440FAF">
      <w:pPr>
        <w:jc w:val="both"/>
        <w:rPr>
          <w:sz w:val="28"/>
          <w:szCs w:val="28"/>
        </w:rPr>
      </w:pPr>
      <w:r w:rsidRPr="00763B96">
        <w:rPr>
          <w:sz w:val="28"/>
          <w:szCs w:val="28"/>
        </w:rPr>
        <w:t>* ключевой показатель деятельности привязывается к цели и задачам компании</w:t>
      </w:r>
    </w:p>
    <w:p w:rsidR="00A82A2A" w:rsidRPr="00F116F7" w:rsidRDefault="00A82A2A" w:rsidP="00F116F7">
      <w:pPr>
        <w:jc w:val="center"/>
        <w:rPr>
          <w:b/>
          <w:sz w:val="28"/>
          <w:szCs w:val="28"/>
        </w:rPr>
        <w:sectPr w:rsidR="00A82A2A" w:rsidRPr="00F116F7" w:rsidSect="0086365F">
          <w:pgSz w:w="16838" w:h="11906" w:orient="landscape"/>
          <w:pgMar w:top="1134" w:right="851" w:bottom="1134" w:left="1276" w:header="709" w:footer="709" w:gutter="0"/>
          <w:cols w:space="708"/>
          <w:docGrid w:linePitch="360"/>
        </w:sectPr>
      </w:pPr>
    </w:p>
    <w:p w:rsidR="00A82A2A" w:rsidRDefault="00A82A2A" w:rsidP="00F116F7">
      <w:pPr>
        <w:rPr>
          <w:b/>
          <w:sz w:val="28"/>
          <w:szCs w:val="28"/>
        </w:rPr>
      </w:pPr>
    </w:p>
    <w:sectPr w:rsidR="00A82A2A" w:rsidSect="00F116F7">
      <w:headerReference w:type="even" r:id="rId14"/>
      <w:headerReference w:type="default" r:id="rId15"/>
      <w:headerReference w:type="first" r:id="rId16"/>
      <w:pgSz w:w="11906" w:h="16838"/>
      <w:pgMar w:top="1134" w:right="851" w:bottom="1134" w:left="1276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8A5" w:rsidRDefault="005718A5">
      <w:r>
        <w:separator/>
      </w:r>
    </w:p>
  </w:endnote>
  <w:endnote w:type="continuationSeparator" w:id="0">
    <w:p w:rsidR="005718A5" w:rsidRDefault="0057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8A5" w:rsidRDefault="005718A5">
      <w:r>
        <w:separator/>
      </w:r>
    </w:p>
  </w:footnote>
  <w:footnote w:type="continuationSeparator" w:id="0">
    <w:p w:rsidR="005718A5" w:rsidRDefault="00571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F6E" w:rsidRDefault="00F96F6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F96F6E" w:rsidRDefault="00F96F6E">
    <w:pPr>
      <w:pStyle w:val="a8"/>
    </w:pPr>
  </w:p>
  <w:p w:rsidR="00F96F6E" w:rsidRDefault="00F96F6E"/>
  <w:p w:rsidR="00F96F6E" w:rsidRDefault="00F96F6E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F6E" w:rsidRDefault="00F96F6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02BF7">
      <w:rPr>
        <w:rStyle w:val="aa"/>
        <w:noProof/>
      </w:rPr>
      <w:t>4</w:t>
    </w:r>
    <w:r>
      <w:rPr>
        <w:rStyle w:val="aa"/>
      </w:rPr>
      <w:fldChar w:fldCharType="end"/>
    </w:r>
  </w:p>
  <w:p w:rsidR="00F96F6E" w:rsidRDefault="00F96F6E">
    <w:pPr>
      <w:pStyle w:val="a8"/>
    </w:pPr>
  </w:p>
  <w:p w:rsidR="00F96F6E" w:rsidRDefault="00F96F6E"/>
  <w:p w:rsidR="00F96F6E" w:rsidRDefault="00F96F6E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F6E" w:rsidRDefault="00F96F6E">
    <w:pPr>
      <w:pStyle w:val="a8"/>
      <w:rPr>
        <w:color w:val="3A7298"/>
        <w:sz w:val="22"/>
        <w:szCs w:val="22"/>
        <w:lang w:val="kk-KZ"/>
      </w:rPr>
    </w:pPr>
  </w:p>
  <w:p w:rsidR="00F96F6E" w:rsidRDefault="00F96F6E">
    <w:pPr>
      <w:pStyle w:val="a8"/>
    </w:pPr>
  </w:p>
  <w:p w:rsidR="00F96F6E" w:rsidRDefault="00F96F6E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F6E" w:rsidRDefault="00F96F6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F96F6E" w:rsidRDefault="00F96F6E">
    <w:pPr>
      <w:pStyle w:val="a8"/>
    </w:pPr>
  </w:p>
  <w:p w:rsidR="00F96F6E" w:rsidRDefault="00F96F6E"/>
  <w:p w:rsidR="00F96F6E" w:rsidRDefault="00F96F6E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F6E" w:rsidRDefault="00F96F6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02BF7">
      <w:rPr>
        <w:rStyle w:val="aa"/>
        <w:noProof/>
      </w:rPr>
      <w:t>9</w:t>
    </w:r>
    <w:r>
      <w:rPr>
        <w:rStyle w:val="aa"/>
      </w:rPr>
      <w:fldChar w:fldCharType="end"/>
    </w:r>
  </w:p>
  <w:p w:rsidR="00F96F6E" w:rsidRDefault="00F96F6E">
    <w:pPr>
      <w:pStyle w:val="a8"/>
    </w:pPr>
  </w:p>
  <w:p w:rsidR="00F96F6E" w:rsidRDefault="00F96F6E"/>
  <w:p w:rsidR="00F96F6E" w:rsidRDefault="00F96F6E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F6E" w:rsidRDefault="00F96F6E">
    <w:pPr>
      <w:pStyle w:val="a8"/>
      <w:rPr>
        <w:color w:val="3A7298"/>
        <w:sz w:val="22"/>
        <w:szCs w:val="22"/>
        <w:lang w:val="kk-KZ"/>
      </w:rPr>
    </w:pPr>
  </w:p>
  <w:p w:rsidR="00F96F6E" w:rsidRDefault="00F96F6E">
    <w:pPr>
      <w:pStyle w:val="a8"/>
    </w:pPr>
  </w:p>
  <w:p w:rsidR="00F96F6E" w:rsidRDefault="00F96F6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51B4E"/>
    <w:multiLevelType w:val="hybridMultilevel"/>
    <w:tmpl w:val="51080E76"/>
    <w:lvl w:ilvl="0" w:tplc="4AF86A2A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48262C8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63066B56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27DC9A4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5366EE2A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5E520974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BC4B94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3D3A608C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43F0CB5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 w15:restartNumberingAfterBreak="0">
    <w:nsid w:val="36121A27"/>
    <w:multiLevelType w:val="multilevel"/>
    <w:tmpl w:val="FE721D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0973351"/>
    <w:multiLevelType w:val="hybridMultilevel"/>
    <w:tmpl w:val="CDDC0616"/>
    <w:lvl w:ilvl="0" w:tplc="DA52F5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9CCE2F34">
      <w:start w:val="1"/>
      <w:numFmt w:val="lowerLetter"/>
      <w:lvlText w:val="%2."/>
      <w:lvlJc w:val="left"/>
      <w:pPr>
        <w:ind w:left="1785" w:hanging="360"/>
      </w:pPr>
    </w:lvl>
    <w:lvl w:ilvl="2" w:tplc="6B54F482">
      <w:start w:val="1"/>
      <w:numFmt w:val="lowerRoman"/>
      <w:lvlText w:val="%3."/>
      <w:lvlJc w:val="right"/>
      <w:pPr>
        <w:ind w:left="2505" w:hanging="180"/>
      </w:pPr>
    </w:lvl>
    <w:lvl w:ilvl="3" w:tplc="D77891A8">
      <w:start w:val="1"/>
      <w:numFmt w:val="decimal"/>
      <w:lvlText w:val="%4."/>
      <w:lvlJc w:val="left"/>
      <w:pPr>
        <w:ind w:left="3225" w:hanging="360"/>
      </w:pPr>
    </w:lvl>
    <w:lvl w:ilvl="4" w:tplc="4E02F47C">
      <w:start w:val="1"/>
      <w:numFmt w:val="lowerLetter"/>
      <w:lvlText w:val="%5."/>
      <w:lvlJc w:val="left"/>
      <w:pPr>
        <w:ind w:left="3945" w:hanging="360"/>
      </w:pPr>
    </w:lvl>
    <w:lvl w:ilvl="5" w:tplc="C42099AA">
      <w:start w:val="1"/>
      <w:numFmt w:val="lowerRoman"/>
      <w:lvlText w:val="%6."/>
      <w:lvlJc w:val="right"/>
      <w:pPr>
        <w:ind w:left="4665" w:hanging="180"/>
      </w:pPr>
    </w:lvl>
    <w:lvl w:ilvl="6" w:tplc="B5286162">
      <w:start w:val="1"/>
      <w:numFmt w:val="decimal"/>
      <w:lvlText w:val="%7."/>
      <w:lvlJc w:val="left"/>
      <w:pPr>
        <w:ind w:left="5385" w:hanging="360"/>
      </w:pPr>
    </w:lvl>
    <w:lvl w:ilvl="7" w:tplc="514AEAE2">
      <w:start w:val="1"/>
      <w:numFmt w:val="lowerLetter"/>
      <w:lvlText w:val="%8."/>
      <w:lvlJc w:val="left"/>
      <w:pPr>
        <w:ind w:left="6105" w:hanging="360"/>
      </w:pPr>
    </w:lvl>
    <w:lvl w:ilvl="8" w:tplc="650CE04C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D960EC8"/>
    <w:multiLevelType w:val="multilevel"/>
    <w:tmpl w:val="67FA618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5FAE66C0"/>
    <w:multiLevelType w:val="hybridMultilevel"/>
    <w:tmpl w:val="21E48F9E"/>
    <w:lvl w:ilvl="0" w:tplc="3BC4216C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B7386584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52A91A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3E98CB3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2CD8B8A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1EA88FD2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D34C9B94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2523BBA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D7125BE2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2A"/>
    <w:rsid w:val="00002BF7"/>
    <w:rsid w:val="00060E4A"/>
    <w:rsid w:val="000D4509"/>
    <w:rsid w:val="000F6150"/>
    <w:rsid w:val="001659AA"/>
    <w:rsid w:val="001811BB"/>
    <w:rsid w:val="001B2B84"/>
    <w:rsid w:val="003D5994"/>
    <w:rsid w:val="00440FAF"/>
    <w:rsid w:val="004969AF"/>
    <w:rsid w:val="005718A5"/>
    <w:rsid w:val="005A32DD"/>
    <w:rsid w:val="00723B9C"/>
    <w:rsid w:val="0086365F"/>
    <w:rsid w:val="00A17359"/>
    <w:rsid w:val="00A53B5E"/>
    <w:rsid w:val="00A82A2A"/>
    <w:rsid w:val="00B66EF9"/>
    <w:rsid w:val="00C379BA"/>
    <w:rsid w:val="00D941B1"/>
    <w:rsid w:val="00ED2004"/>
    <w:rsid w:val="00F10059"/>
    <w:rsid w:val="00F116F7"/>
    <w:rsid w:val="00F74937"/>
    <w:rsid w:val="00F96F6E"/>
    <w:rsid w:val="00FB1CFE"/>
    <w:rsid w:val="00FC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92686"/>
  <w15:docId w15:val="{2692FE36-6BED-4F31-8B3E-9B9602848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953B8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6953B8"/>
    <w:pPr>
      <w:keepNext/>
      <w:keepLines/>
      <w:overflowPunct w:val="0"/>
      <w:autoSpaceDE w:val="0"/>
      <w:autoSpaceDN w:val="0"/>
      <w:adjustRightInd w:val="0"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qFormat/>
    <w:rsid w:val="00763B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63B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763B9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page number"/>
    <w:basedOn w:val="a0"/>
    <w:rsid w:val="00763B96"/>
  </w:style>
  <w:style w:type="character" w:customStyle="1" w:styleId="20">
    <w:name w:val="Заголовок 2 Знак"/>
    <w:basedOn w:val="a0"/>
    <w:link w:val="2"/>
    <w:rsid w:val="006953B8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semiHidden/>
    <w:rsid w:val="006953B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6953B8"/>
  </w:style>
  <w:style w:type="table" w:customStyle="1" w:styleId="21">
    <w:name w:val="Сетка таблицы2"/>
    <w:basedOn w:val="a1"/>
    <w:next w:val="a3"/>
    <w:uiPriority w:val="59"/>
    <w:rsid w:val="006953B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b">
    <w:name w:val="Знак"/>
    <w:basedOn w:val="a"/>
    <w:autoRedefine/>
    <w:rsid w:val="006953B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Body Text Indent"/>
    <w:basedOn w:val="a"/>
    <w:link w:val="ad"/>
    <w:rsid w:val="006953B8"/>
    <w:pPr>
      <w:ind w:firstLine="1122"/>
      <w:jc w:val="both"/>
    </w:pPr>
    <w:rPr>
      <w:lang w:val="kk-KZ"/>
    </w:rPr>
  </w:style>
  <w:style w:type="character" w:customStyle="1" w:styleId="ad">
    <w:name w:val="Основной текст с отступом Знак"/>
    <w:basedOn w:val="a0"/>
    <w:link w:val="ac"/>
    <w:rsid w:val="006953B8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e">
    <w:name w:val="Title"/>
    <w:basedOn w:val="a"/>
    <w:link w:val="af"/>
    <w:qFormat/>
    <w:rsid w:val="006953B8"/>
    <w:pPr>
      <w:jc w:val="center"/>
    </w:pPr>
    <w:rPr>
      <w:sz w:val="28"/>
    </w:rPr>
  </w:style>
  <w:style w:type="character" w:customStyle="1" w:styleId="af">
    <w:name w:val="Заголовок Знак"/>
    <w:basedOn w:val="a0"/>
    <w:link w:val="ae"/>
    <w:rsid w:val="006953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Subtitle"/>
    <w:basedOn w:val="a"/>
    <w:link w:val="af1"/>
    <w:qFormat/>
    <w:rsid w:val="006953B8"/>
    <w:pPr>
      <w:ind w:firstLine="709"/>
      <w:jc w:val="both"/>
    </w:pPr>
    <w:rPr>
      <w:sz w:val="28"/>
    </w:rPr>
  </w:style>
  <w:style w:type="character" w:customStyle="1" w:styleId="af1">
    <w:name w:val="Подзаголовок Знак"/>
    <w:basedOn w:val="a0"/>
    <w:link w:val="af0"/>
    <w:rsid w:val="006953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No Spacing"/>
    <w:qFormat/>
    <w:rsid w:val="00695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6953B8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character" w:customStyle="1" w:styleId="s0">
    <w:name w:val="s0"/>
    <w:rsid w:val="006953B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6953B8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6953B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2">
    <w:name w:val="Body Text Indent 2"/>
    <w:basedOn w:val="a"/>
    <w:link w:val="23"/>
    <w:rsid w:val="006953B8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6953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Hyperlink"/>
    <w:rsid w:val="006953B8"/>
    <w:rPr>
      <w:rFonts w:ascii="Times New Roman" w:hAnsi="Times New Roman" w:cs="Times New Roman" w:hint="default"/>
      <w:color w:val="333399"/>
      <w:u w:val="single"/>
    </w:rPr>
  </w:style>
  <w:style w:type="paragraph" w:customStyle="1" w:styleId="af4">
    <w:name w:val="Знак Знак Знак"/>
    <w:basedOn w:val="a"/>
    <w:autoRedefine/>
    <w:rsid w:val="006953B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5">
    <w:name w:val="List Paragraph"/>
    <w:basedOn w:val="a"/>
    <w:uiPriority w:val="34"/>
    <w:qFormat/>
    <w:rsid w:val="006953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Normal (Web)"/>
    <w:basedOn w:val="a"/>
    <w:uiPriority w:val="99"/>
    <w:rsid w:val="006953B8"/>
    <w:pPr>
      <w:spacing w:before="100" w:beforeAutospacing="1" w:after="100" w:afterAutospacing="1"/>
    </w:pPr>
  </w:style>
  <w:style w:type="character" w:styleId="af7">
    <w:name w:val="Strong"/>
    <w:qFormat/>
    <w:rsid w:val="006953B8"/>
    <w:rPr>
      <w:b/>
      <w:bCs/>
    </w:rPr>
  </w:style>
  <w:style w:type="paragraph" w:styleId="af8">
    <w:name w:val="footer"/>
    <w:basedOn w:val="a"/>
    <w:link w:val="af9"/>
    <w:rsid w:val="006953B8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f9">
    <w:name w:val="Нижний колонтитул Знак"/>
    <w:basedOn w:val="a0"/>
    <w:link w:val="af8"/>
    <w:rsid w:val="006953B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3"/>
    <w:rsid w:val="006953B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yperlink" Target="http://adilet.zan.kz/rus/docs/Z110000041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eco min</lastModifiedBy>
  <dcterms:modified xsi:type="dcterms:W3CDTF">2025-04-29T09:45:00Z</dcterms:modified>
  <revision>33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90</Pages>
  <Words>10375</Words>
  <Characters>59142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69379</CharactersWithSpaces>
  <SharedDoc>false</SharedDoc>
  <HyperlinksChanged>false</HyperlinksChanged>
  <AppVersion>16.0000</AppVersion>
</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30CEE-24E5-4F38-A610-3717897ECCD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8B0D12-3AF0-4F48-8630-586459354A3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FE476829-28C6-4C10-B927-EB2E70DE3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Бибинур Тулегенова</cp:lastModifiedBy>
  <cp:revision>23</cp:revision>
  <dcterms:created xsi:type="dcterms:W3CDTF">2026-04-28T04:51:00Z</dcterms:created>
  <dcterms:modified xsi:type="dcterms:W3CDTF">2026-05-19T14:39:00Z</dcterms:modified>
</cp:coreProperties>
</file>